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67" w:rsidRPr="00154598" w:rsidRDefault="00902D67" w:rsidP="00902D67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УКАЗАНИЯ</w:t>
      </w:r>
    </w:p>
    <w:p w:rsidR="00902D67" w:rsidRPr="00154598" w:rsidRDefault="00902D67" w:rsidP="00902D67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по заполнению формы федерального статистического наблюдения</w:t>
      </w:r>
      <w:r w:rsidRPr="00154598">
        <w:rPr>
          <w:b/>
          <w:sz w:val="26"/>
        </w:rPr>
        <w:t xml:space="preserve"> </w:t>
      </w:r>
      <w:r w:rsidRPr="00154598">
        <w:rPr>
          <w:b/>
          <w:sz w:val="26"/>
        </w:rPr>
        <w:br/>
        <w:t>№1-</w:t>
      </w:r>
      <w:r>
        <w:rPr>
          <w:b/>
          <w:sz w:val="26"/>
        </w:rPr>
        <w:t>ТАРИФ (мор)</w:t>
      </w:r>
      <w:r w:rsidRPr="00154598">
        <w:rPr>
          <w:b/>
          <w:sz w:val="26"/>
        </w:rPr>
        <w:t xml:space="preserve"> «</w:t>
      </w:r>
      <w:r w:rsidRPr="00902D67">
        <w:rPr>
          <w:b/>
          <w:sz w:val="26"/>
        </w:rPr>
        <w:t>Сведения о тарифах на перевозку тонны грузов организациями морского транспорта</w:t>
      </w:r>
      <w:r w:rsidRPr="00154598">
        <w:rPr>
          <w:b/>
          <w:sz w:val="26"/>
        </w:rPr>
        <w:t>»</w:t>
      </w:r>
    </w:p>
    <w:p w:rsidR="00BC2713" w:rsidRDefault="00BC2713" w:rsidP="00902D67">
      <w:pPr>
        <w:spacing w:before="60" w:after="60"/>
        <w:jc w:val="center"/>
        <w:rPr>
          <w:b/>
          <w:sz w:val="26"/>
        </w:rPr>
      </w:pPr>
    </w:p>
    <w:p w:rsidR="00BC2713" w:rsidRPr="00BC2713" w:rsidRDefault="00BC2713" w:rsidP="003A1A19">
      <w:pPr>
        <w:ind w:firstLine="709"/>
        <w:jc w:val="both"/>
        <w:rPr>
          <w:szCs w:val="24"/>
        </w:rPr>
      </w:pPr>
      <w:r w:rsidRPr="00BC2713">
        <w:t>1. Юридическое лицо заполняет настоящую форму и предоставляет ее в территориальный орган Росстата по месту своего нахождения. При наличии у юридического лица обособленных подразделений</w:t>
      </w:r>
      <w:proofErr w:type="gramStart"/>
      <w:r w:rsidRPr="00BC2713">
        <w:rPr>
          <w:vertAlign w:val="superscript"/>
        </w:rPr>
        <w:t>1</w:t>
      </w:r>
      <w:proofErr w:type="gramEnd"/>
      <w:r w:rsidRPr="00BC2713"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 </w:t>
      </w:r>
      <w:r w:rsidRPr="00BC2713">
        <w:rPr>
          <w:szCs w:val="24"/>
        </w:rPr>
        <w:t xml:space="preserve">Форму федерального статистического наблюдения предоставляют также филиалы, представительства и </w:t>
      </w:r>
      <w:proofErr w:type="gramStart"/>
      <w:r w:rsidRPr="00BC2713">
        <w:rPr>
          <w:szCs w:val="24"/>
        </w:rPr>
        <w:t>подразделения</w:t>
      </w:r>
      <w:proofErr w:type="gramEnd"/>
      <w:r w:rsidRPr="00BC2713">
        <w:rPr>
          <w:szCs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BC2713" w:rsidRPr="00BC2713" w:rsidRDefault="00BC2713" w:rsidP="003A1A19">
      <w:pPr>
        <w:ind w:firstLine="709"/>
        <w:jc w:val="both"/>
      </w:pPr>
      <w:r w:rsidRPr="00BC2713"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</w:t>
      </w:r>
    </w:p>
    <w:p w:rsidR="00BC2713" w:rsidRPr="00BC2713" w:rsidRDefault="00BC2713" w:rsidP="003A1A19">
      <w:pPr>
        <w:ind w:firstLine="709"/>
        <w:jc w:val="both"/>
      </w:pPr>
      <w:r w:rsidRPr="00BC2713">
        <w:t>Руководитель юридического лица назначает должностных лиц, уполн</w:t>
      </w:r>
      <w:r w:rsidRPr="00BC2713">
        <w:t>о</w:t>
      </w:r>
      <w:r w:rsidRPr="00BC2713">
        <w:t>моченных предоставлять статистическую информацию от имени юридического л</w:t>
      </w:r>
      <w:r w:rsidRPr="00BC2713">
        <w:t>и</w:t>
      </w:r>
      <w:r w:rsidRPr="00BC2713">
        <w:t>ца.</w:t>
      </w:r>
    </w:p>
    <w:p w:rsidR="00BC2713" w:rsidRPr="00BC2713" w:rsidRDefault="00BC2713" w:rsidP="003A1A19">
      <w:pPr>
        <w:ind w:firstLine="709"/>
        <w:jc w:val="both"/>
      </w:pPr>
      <w:r w:rsidRPr="00BC2713">
        <w:t>В адресной части указывается полное наименование отчитыва</w:t>
      </w:r>
      <w:r w:rsidRPr="00BC2713">
        <w:t>ю</w:t>
      </w:r>
      <w:r w:rsidRPr="00BC2713">
        <w:t>щейся организации в соответствии с учредительными документами, зарегистрированными в установленном порядке, а затем в скобках – краткое наименов</w:t>
      </w:r>
      <w:r w:rsidRPr="00BC2713">
        <w:t>а</w:t>
      </w:r>
      <w:r w:rsidRPr="00BC2713">
        <w:t>ние. На бланке формы, содержащей сведения по обособленному подразделению юридического лица, указывается наименование обособленного подра</w:t>
      </w:r>
      <w:r w:rsidRPr="00BC2713">
        <w:t>з</w:t>
      </w:r>
      <w:r w:rsidRPr="00BC2713">
        <w:t>деления и юридического лица, к которому оно относится.</w:t>
      </w:r>
    </w:p>
    <w:p w:rsidR="00BC2713" w:rsidRPr="00BC2713" w:rsidRDefault="00BC2713" w:rsidP="003A1A19">
      <w:pPr>
        <w:ind w:firstLine="709"/>
        <w:jc w:val="both"/>
      </w:pPr>
      <w:proofErr w:type="gramStart"/>
      <w:r w:rsidRPr="00BC2713">
        <w:t>По строке «Почтовый адрес» указывается наименование субъекта Ро</w:t>
      </w:r>
      <w:r w:rsidRPr="00BC2713">
        <w:t>с</w:t>
      </w:r>
      <w:r w:rsidRPr="00BC2713">
        <w:t>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BC2713">
        <w:t xml:space="preserve"> Для обособленных подразделений, не имеющих юридического адреса, указывается почтовый адрес с почтовым инде</w:t>
      </w:r>
      <w:r w:rsidRPr="00BC2713">
        <w:t>к</w:t>
      </w:r>
      <w:r w:rsidRPr="00BC2713">
        <w:t>сом.</w:t>
      </w:r>
    </w:p>
    <w:p w:rsidR="00BC2713" w:rsidRPr="00BC2713" w:rsidRDefault="00BC2713" w:rsidP="003A1A19">
      <w:pPr>
        <w:ind w:firstLine="709"/>
        <w:jc w:val="both"/>
      </w:pPr>
      <w:r w:rsidRPr="00BC2713">
        <w:t>2. Юридическое лицо проставляет в кодовой части формы код Общеро</w:t>
      </w:r>
      <w:r w:rsidRPr="00BC2713">
        <w:t>с</w:t>
      </w:r>
      <w:r w:rsidRPr="00BC2713">
        <w:t>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</w:t>
      </w:r>
      <w:r w:rsidRPr="00BC2713">
        <w:t>р</w:t>
      </w:r>
      <w:r w:rsidRPr="00BC2713">
        <w:t>ганами Росстата.</w:t>
      </w:r>
    </w:p>
    <w:p w:rsidR="00BC2713" w:rsidRPr="00BC2713" w:rsidRDefault="00BC2713" w:rsidP="003A1A19">
      <w:pPr>
        <w:pStyle w:val="34"/>
        <w:spacing w:after="0"/>
        <w:ind w:left="0" w:firstLine="720"/>
        <w:jc w:val="both"/>
        <w:rPr>
          <w:sz w:val="24"/>
          <w:szCs w:val="24"/>
        </w:rPr>
      </w:pPr>
      <w:r w:rsidRPr="00BC2713">
        <w:rPr>
          <w:sz w:val="24"/>
          <w:szCs w:val="24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BC2713" w:rsidRPr="00BC2713" w:rsidRDefault="00BC2713" w:rsidP="003A1A19">
      <w:pPr>
        <w:ind w:firstLine="709"/>
        <w:jc w:val="both"/>
      </w:pPr>
      <w:r w:rsidRPr="00BC2713">
        <w:t xml:space="preserve">3. Данные в графе 3 «Тариф, рублей» приводятся с точностью до двух знаков после запятой. Тариф на перевозку грузов должен быть указан без учета налога на добавленную стоимость (НДС). </w:t>
      </w:r>
    </w:p>
    <w:p w:rsidR="00BC2713" w:rsidRDefault="00BC2713" w:rsidP="00BC2713">
      <w:pPr>
        <w:spacing w:before="40"/>
        <w:ind w:firstLine="709"/>
        <w:jc w:val="both"/>
      </w:pPr>
      <w:r>
        <w:t>_______________________</w:t>
      </w:r>
    </w:p>
    <w:p w:rsidR="00BC2713" w:rsidRPr="00BC2713" w:rsidRDefault="00BC2713" w:rsidP="00BC2713">
      <w:pPr>
        <w:ind w:right="-57" w:firstLine="720"/>
        <w:jc w:val="both"/>
        <w:rPr>
          <w:sz w:val="20"/>
        </w:rPr>
      </w:pPr>
      <w:r w:rsidRPr="00BC2713">
        <w:rPr>
          <w:rStyle w:val="af0"/>
          <w:sz w:val="20"/>
        </w:rPr>
        <w:t>1</w:t>
      </w:r>
      <w:r w:rsidRPr="00BC2713">
        <w:rPr>
          <w:sz w:val="20"/>
        </w:rPr>
        <w:t xml:space="preserve"> Примечание.</w:t>
      </w:r>
    </w:p>
    <w:p w:rsidR="00BC2713" w:rsidRPr="00BC2713" w:rsidRDefault="00BC2713" w:rsidP="00BC2713">
      <w:pPr>
        <w:autoSpaceDE w:val="0"/>
        <w:autoSpaceDN w:val="0"/>
        <w:adjustRightInd w:val="0"/>
        <w:ind w:right="-57" w:firstLine="709"/>
        <w:contextualSpacing/>
        <w:jc w:val="both"/>
        <w:rPr>
          <w:sz w:val="20"/>
        </w:rPr>
      </w:pPr>
      <w:r w:rsidRPr="00BC2713">
        <w:rPr>
          <w:sz w:val="20"/>
        </w:rPr>
        <w:lastRenderedPageBreak/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(п.2 ст. 11 Налогового кодекса Российской Федерации).</w:t>
      </w:r>
    </w:p>
    <w:p w:rsidR="00BC2713" w:rsidRDefault="00BC2713" w:rsidP="00BC2713">
      <w:pPr>
        <w:spacing w:before="40"/>
        <w:ind w:firstLine="709"/>
        <w:jc w:val="both"/>
      </w:pPr>
    </w:p>
    <w:p w:rsidR="00BC2713" w:rsidRDefault="00BC2713" w:rsidP="00B3172D">
      <w:pPr>
        <w:ind w:firstLine="709"/>
        <w:jc w:val="both"/>
      </w:pPr>
      <w:r>
        <w:t xml:space="preserve">4. При заполнении формы следует обратить особое внимание на обеспечение за отчетный и предыдущий месяцы сопоставимости  тарифов по каботажному  </w:t>
      </w:r>
      <w:proofErr w:type="gramStart"/>
      <w:r>
        <w:t>плаванию</w:t>
      </w:r>
      <w:proofErr w:type="gramEnd"/>
      <w:r>
        <w:t xml:space="preserve"> прежде всего с точки зрения наименования перевозимого груза и расстояния перевозки груза, поскольку под тарифом следует понимать стоимость перевозки 1 тонны конкретного груза на определенное расстояние. </w:t>
      </w:r>
    </w:p>
    <w:p w:rsidR="00BC2713" w:rsidRDefault="00BC2713" w:rsidP="00B3172D">
      <w:pPr>
        <w:ind w:firstLine="709"/>
        <w:jc w:val="both"/>
      </w:pPr>
      <w:r>
        <w:t>Для выполнения указанных требований по каботажному плаванию в отчитывающейся организации морского транспорта  (морском порту, морском пароходстве, судоходной компании) отбирается наиболее массовый по объему перевозки (отправления) в тоннах груз, его наименование следует вписать вручную в свободной строке. Тариф необходимо указать в расчете на среднее расстояние перевозки отобранного груза по отчитывающемуся морскому порту (морскому пароходству, судоходной компании) за предыдущий год. Среднее расстояние перевозки грузов может быть определено экспертно. Оно должно быть близким к расстоянию, на которое больше всего в предыдущем году перевозился отобранный для наблюдения груз.</w:t>
      </w:r>
    </w:p>
    <w:p w:rsidR="00BC2713" w:rsidRDefault="00BC2713" w:rsidP="00B3172D">
      <w:pPr>
        <w:ind w:firstLine="709"/>
        <w:jc w:val="both"/>
      </w:pPr>
      <w:r>
        <w:t>Основной целью наблюдения тарифов на перевозку тонны грузов организациями морского транспорта является исчисление индекса тарифов, т. е. определение степени изменения только тарифов (утвержденных, договорных и др.) на грузовые перевозки без учета изменения за этот период структуры перевезенных грузов. При расчете индекса тарифов кроме вышеназванных признаков (вид груза и расстояние перевозки груза) по возможности необходимо также обеспечить неизменность тарифов и по следующим признакам: по размеру отправки груза, скорости доставки, пункту назначения, типу судна, степени использования его грузоподъемности и др.</w:t>
      </w:r>
    </w:p>
    <w:p w:rsidR="00BC2713" w:rsidRDefault="00BC2713" w:rsidP="00B3172D">
      <w:pPr>
        <w:ind w:firstLine="709"/>
        <w:jc w:val="both"/>
      </w:pPr>
      <w:r>
        <w:t>Учитывая трудности, сложившиеся в отслеживании сопоставимых тарифов на перевозку грузов в заграничном плавании, в виде исключения допускается наблюдение средней за месяц доходной ставки (среднего тарифа) за перевозку тонны грузов данным видом сообщения.</w:t>
      </w:r>
    </w:p>
    <w:p w:rsidR="00BC2713" w:rsidRDefault="00BC2713" w:rsidP="00B3172D">
      <w:pPr>
        <w:ind w:firstLine="709"/>
        <w:jc w:val="both"/>
      </w:pPr>
      <w:r>
        <w:t>5. По строке 01 наблюдаются тарифы на перевозку грузов в страны дальнего зарубежья или страны СНГ, по строке 02 - внутри Российской Федерации.</w:t>
      </w:r>
    </w:p>
    <w:p w:rsidR="00BC2713" w:rsidRPr="00095806" w:rsidRDefault="00BC2713" w:rsidP="00B3172D">
      <w:pPr>
        <w:ind w:firstLine="709"/>
        <w:jc w:val="both"/>
        <w:rPr>
          <w:szCs w:val="24"/>
        </w:rPr>
      </w:pPr>
      <w:r w:rsidRPr="003A1A19">
        <w:t xml:space="preserve">6. В графах 4-6 указывается суммарный объем доходов (стоимости услуг) от перевозки </w:t>
      </w:r>
      <w:r w:rsidRPr="003A1A19">
        <w:rPr>
          <w:b/>
        </w:rPr>
        <w:t>всех грузов</w:t>
      </w:r>
      <w:r w:rsidRPr="003A1A19">
        <w:t xml:space="preserve"> по конкретному виду </w:t>
      </w:r>
      <w:r w:rsidRPr="00095806">
        <w:rPr>
          <w:szCs w:val="24"/>
        </w:rPr>
        <w:t>плавания</w:t>
      </w:r>
      <w:r w:rsidR="00095806" w:rsidRPr="00095806">
        <w:rPr>
          <w:szCs w:val="24"/>
          <w:vertAlign w:val="superscript"/>
        </w:rPr>
        <w:t xml:space="preserve"> </w:t>
      </w:r>
      <w:r w:rsidR="00095806" w:rsidRPr="00095806">
        <w:rPr>
          <w:szCs w:val="24"/>
        </w:rPr>
        <w:t>с точностью до целого числа</w:t>
      </w:r>
      <w:r w:rsidRPr="00095806">
        <w:rPr>
          <w:szCs w:val="24"/>
        </w:rPr>
        <w:t>. Указанные графы заполняются данными один раз в год при заполнении отчета на 22 января отчетного года.</w:t>
      </w:r>
    </w:p>
    <w:p w:rsidR="00BC2713" w:rsidRPr="00095806" w:rsidRDefault="00BC2713" w:rsidP="00B3172D">
      <w:pPr>
        <w:ind w:firstLine="709"/>
        <w:jc w:val="both"/>
      </w:pPr>
      <w:r w:rsidRPr="00095806">
        <w:t>Формирование доходов от перевозки грузов осуществляется на основании бухгалтерского синтетического и аналитического учета в соответствии с нормативно-законодательными актами по бухгалтерскому учету.</w:t>
      </w:r>
      <w:r w:rsidR="00095806" w:rsidRPr="00095806">
        <w:t xml:space="preserve"> Доходы должны быть указаны без учета налога на добавленную стоимость (НДС).</w:t>
      </w:r>
    </w:p>
    <w:p w:rsidR="00BC2713" w:rsidRDefault="00BC2713" w:rsidP="00B3172D">
      <w:pPr>
        <w:ind w:firstLine="709"/>
        <w:jc w:val="both"/>
        <w:rPr>
          <w:szCs w:val="24"/>
        </w:rPr>
      </w:pPr>
      <w:r w:rsidRPr="003A1A19">
        <w:rPr>
          <w:szCs w:val="24"/>
        </w:rPr>
        <w:t xml:space="preserve">Данные о доходах от перевозки грузов включают доходы от перевозки грузов судами, сданными в аренду иностранным фрахтователям на условиях </w:t>
      </w:r>
      <w:proofErr w:type="gramStart"/>
      <w:r w:rsidRPr="003A1A19">
        <w:rPr>
          <w:szCs w:val="24"/>
        </w:rPr>
        <w:t>тайм-чартера</w:t>
      </w:r>
      <w:proofErr w:type="gramEnd"/>
      <w:r w:rsidRPr="003A1A19">
        <w:rPr>
          <w:szCs w:val="24"/>
        </w:rPr>
        <w:t>. По договору фрахтования судна на время (тайм - чартер) судовладелец обязуется за обусловленную плату (фрахт) предоставить фрахтователю судно и услуги членов экипажа судна в пользование на определенный срок для перевозок грузов</w:t>
      </w:r>
      <w:proofErr w:type="gramStart"/>
      <w:r w:rsidR="00310CCD" w:rsidRPr="003A1A19">
        <w:rPr>
          <w:szCs w:val="24"/>
          <w:vertAlign w:val="superscript"/>
        </w:rPr>
        <w:t>1</w:t>
      </w:r>
      <w:proofErr w:type="gramEnd"/>
      <w:r w:rsidR="00310CCD" w:rsidRPr="003A1A19">
        <w:rPr>
          <w:szCs w:val="24"/>
          <w:vertAlign w:val="superscript"/>
        </w:rPr>
        <w:t>)</w:t>
      </w:r>
      <w:r w:rsidRPr="003A1A19">
        <w:rPr>
          <w:szCs w:val="24"/>
        </w:rPr>
        <w:t>. При этом судовладелец несет расходы по заработной плате, питанию экипажа и обеспечению содержания судна в надлежащем техническом состоянии. Расходы по перевозкам (оплата топлива, погрузки-выгрузки, налоги и сборы, агентские вознаграждения и т.д.) возлагаются на  фрахтователя.</w:t>
      </w:r>
    </w:p>
    <w:p w:rsidR="00BC2713" w:rsidRPr="00B3172D" w:rsidRDefault="00BC2713" w:rsidP="00BC2713">
      <w:pPr>
        <w:ind w:firstLine="709"/>
        <w:jc w:val="both"/>
        <w:rPr>
          <w:sz w:val="22"/>
          <w:szCs w:val="22"/>
        </w:rPr>
      </w:pPr>
      <w:r w:rsidRPr="00B3172D">
        <w:rPr>
          <w:sz w:val="22"/>
          <w:szCs w:val="22"/>
        </w:rPr>
        <w:lastRenderedPageBreak/>
        <w:t>______________________</w:t>
      </w:r>
    </w:p>
    <w:p w:rsidR="00064BA5" w:rsidRDefault="00BC2713" w:rsidP="00310CCD">
      <w:pPr>
        <w:spacing w:before="40"/>
        <w:ind w:firstLine="709"/>
        <w:jc w:val="both"/>
        <w:rPr>
          <w:szCs w:val="24"/>
        </w:rPr>
      </w:pPr>
      <w:r w:rsidRPr="0025076A">
        <w:rPr>
          <w:sz w:val="20"/>
          <w:vertAlign w:val="superscript"/>
        </w:rPr>
        <w:t>1)</w:t>
      </w:r>
      <w:r w:rsidR="0025076A">
        <w:rPr>
          <w:sz w:val="20"/>
        </w:rPr>
        <w:t> </w:t>
      </w:r>
      <w:r w:rsidRPr="0025076A">
        <w:rPr>
          <w:sz w:val="20"/>
        </w:rPr>
        <w:t>Ст.198 Кодекса торгового мореплавания Российской Федерации (КТМ</w:t>
      </w:r>
      <w:r w:rsidR="00310CCD">
        <w:rPr>
          <w:sz w:val="20"/>
        </w:rPr>
        <w:t xml:space="preserve"> РФ).</w:t>
      </w:r>
    </w:p>
    <w:p w:rsidR="00310CCD" w:rsidRDefault="00310CCD" w:rsidP="00064BA5">
      <w:pPr>
        <w:ind w:firstLine="709"/>
        <w:jc w:val="both"/>
        <w:rPr>
          <w:szCs w:val="24"/>
        </w:rPr>
      </w:pPr>
    </w:p>
    <w:p w:rsidR="00310CCD" w:rsidRDefault="00310CCD" w:rsidP="00064BA5">
      <w:pPr>
        <w:ind w:firstLine="709"/>
        <w:jc w:val="both"/>
        <w:rPr>
          <w:szCs w:val="24"/>
        </w:rPr>
      </w:pPr>
    </w:p>
    <w:p w:rsidR="00064BA5" w:rsidRPr="00B3172D" w:rsidRDefault="00064BA5" w:rsidP="00064BA5">
      <w:pPr>
        <w:ind w:firstLine="709"/>
        <w:jc w:val="both"/>
        <w:rPr>
          <w:szCs w:val="24"/>
        </w:rPr>
      </w:pPr>
      <w:proofErr w:type="gramStart"/>
      <w:r w:rsidRPr="00B3172D">
        <w:rPr>
          <w:szCs w:val="24"/>
        </w:rPr>
        <w:t>В доходы от перевозки грузов не должны включаться доходы по работам, не связанным с перевозкой грузов (по перегрузочным работам, по судам, сданным в аренду (кроме сданных в тайм-чартер иностранным фрахтователям).</w:t>
      </w:r>
      <w:proofErr w:type="gramEnd"/>
    </w:p>
    <w:p w:rsidR="00BC2713" w:rsidRPr="00B3172D" w:rsidRDefault="00BC2713" w:rsidP="00B3172D">
      <w:pPr>
        <w:ind w:firstLine="709"/>
        <w:jc w:val="both"/>
        <w:rPr>
          <w:szCs w:val="24"/>
        </w:rPr>
      </w:pPr>
      <w:r w:rsidRPr="00B3172D">
        <w:rPr>
          <w:szCs w:val="24"/>
        </w:rPr>
        <w:t xml:space="preserve">Доходы от перевозок грузов </w:t>
      </w:r>
      <w:r w:rsidRPr="00B3172D">
        <w:rPr>
          <w:b/>
          <w:szCs w:val="24"/>
        </w:rPr>
        <w:t>в заграничном плавании</w:t>
      </w:r>
      <w:r w:rsidRPr="00B3172D">
        <w:rPr>
          <w:szCs w:val="24"/>
        </w:rPr>
        <w:t xml:space="preserve"> определяются как сумма доходов, полученных в рублях и в иностранной валюте и отраженных в соответствующих регистрах бухгалтерского учета. </w:t>
      </w:r>
    </w:p>
    <w:p w:rsidR="00BC2713" w:rsidRPr="00B3172D" w:rsidRDefault="00BC2713" w:rsidP="00B3172D">
      <w:pPr>
        <w:ind w:firstLine="709"/>
        <w:jc w:val="both"/>
        <w:rPr>
          <w:szCs w:val="24"/>
        </w:rPr>
      </w:pPr>
      <w:proofErr w:type="gramStart"/>
      <w:r w:rsidRPr="00B3172D">
        <w:rPr>
          <w:szCs w:val="24"/>
        </w:rPr>
        <w:t xml:space="preserve">При определении доходов, полученных </w:t>
      </w:r>
      <w:r w:rsidRPr="00B3172D">
        <w:rPr>
          <w:b/>
          <w:szCs w:val="24"/>
        </w:rPr>
        <w:t>в заграничном плавании</w:t>
      </w:r>
      <w:r w:rsidRPr="00B3172D">
        <w:rPr>
          <w:szCs w:val="24"/>
        </w:rPr>
        <w:t xml:space="preserve">, выручка определяется в рублях по официальному курсу, действующему на дату признания доходов в иностранной валюте  (Положение по бухгалтерскому учету «Учет активов и обязательств, стоимость которых выражена в иностранной валюте» ПБУ 3/2006, утвержденное приказом Минфина России от 27.11.2006 № 154н, зарегистрировано Минюстом </w:t>
      </w:r>
      <w:r w:rsidR="00310CCD">
        <w:rPr>
          <w:szCs w:val="24"/>
        </w:rPr>
        <w:t xml:space="preserve">России </w:t>
      </w:r>
      <w:r w:rsidRPr="00B3172D">
        <w:rPr>
          <w:szCs w:val="24"/>
        </w:rPr>
        <w:t>17.01.2007 № 8788).</w:t>
      </w:r>
      <w:proofErr w:type="gramEnd"/>
    </w:p>
    <w:p w:rsidR="00BC2713" w:rsidRPr="00B3172D" w:rsidRDefault="00BC2713" w:rsidP="00B3172D">
      <w:pPr>
        <w:ind w:firstLine="709"/>
        <w:jc w:val="both"/>
      </w:pPr>
      <w:r w:rsidRPr="00B3172D">
        <w:t>7. Контроль при заполнении формы в электронном виде:</w:t>
      </w:r>
    </w:p>
    <w:p w:rsidR="00BC2713" w:rsidRPr="00B3172D" w:rsidRDefault="00B3172D" w:rsidP="00B3172D">
      <w:pPr>
        <w:ind w:firstLine="709"/>
        <w:jc w:val="both"/>
      </w:pPr>
      <w:r>
        <w:t xml:space="preserve"> </w:t>
      </w:r>
      <w:r w:rsidR="00242134">
        <w:t xml:space="preserve"> </w:t>
      </w:r>
      <w:r>
        <w:t xml:space="preserve">  </w:t>
      </w:r>
      <w:r w:rsidR="00BC2713" w:rsidRPr="00B3172D">
        <w:t>- данные в графе 3 должны быть с точностью до 0,01;</w:t>
      </w:r>
    </w:p>
    <w:p w:rsidR="00BC2713" w:rsidRPr="00B3172D" w:rsidRDefault="00B3172D" w:rsidP="00B3172D">
      <w:pPr>
        <w:ind w:firstLine="709"/>
        <w:jc w:val="both"/>
      </w:pPr>
      <w:r>
        <w:t xml:space="preserve"> </w:t>
      </w:r>
      <w:r w:rsidR="00242134">
        <w:t xml:space="preserve"> </w:t>
      </w:r>
      <w:r>
        <w:t xml:space="preserve">  </w:t>
      </w:r>
      <w:r w:rsidR="00BC2713" w:rsidRPr="00B3172D">
        <w:t>- данные в графах 4-6 должны быть с точностью до целого числа;</w:t>
      </w:r>
    </w:p>
    <w:p w:rsidR="00BC2713" w:rsidRPr="00B3172D" w:rsidRDefault="00B3172D" w:rsidP="00B3172D">
      <w:pPr>
        <w:ind w:firstLine="709"/>
        <w:jc w:val="both"/>
      </w:pPr>
      <w:r>
        <w:t xml:space="preserve"> </w:t>
      </w:r>
      <w:r w:rsidR="00242134">
        <w:t xml:space="preserve"> </w:t>
      </w:r>
      <w:r>
        <w:t xml:space="preserve">  </w:t>
      </w:r>
      <w:r w:rsidR="00BC2713" w:rsidRPr="00B3172D">
        <w:t>- в графах 4-6 данные строки 03 равны сумме строк 01 и 02 соответственно.</w:t>
      </w:r>
    </w:p>
    <w:p w:rsidR="00BC2713" w:rsidRPr="00B3172D" w:rsidRDefault="00BC2713" w:rsidP="00B3172D">
      <w:pPr>
        <w:pStyle w:val="ad"/>
        <w:spacing w:before="0"/>
        <w:rPr>
          <w:rFonts w:ascii="Times New Roman" w:hAnsi="Times New Roman"/>
          <w:sz w:val="10"/>
        </w:rPr>
      </w:pPr>
    </w:p>
    <w:p w:rsidR="00BC2713" w:rsidRPr="00CC18FA" w:rsidRDefault="00BC2713" w:rsidP="00E20F24">
      <w:pPr>
        <w:ind w:left="9912"/>
        <w:jc w:val="both"/>
      </w:pPr>
    </w:p>
    <w:sectPr w:rsidR="00BC2713" w:rsidRPr="00CC18FA">
      <w:headerReference w:type="even" r:id="rId8"/>
      <w:headerReference w:type="default" r:id="rId9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0D" w:rsidRDefault="00FB060D">
      <w:r>
        <w:separator/>
      </w:r>
    </w:p>
  </w:endnote>
  <w:endnote w:type="continuationSeparator" w:id="0">
    <w:p w:rsidR="00FB060D" w:rsidRDefault="00FB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0D" w:rsidRDefault="00FB060D">
      <w:r>
        <w:separator/>
      </w:r>
    </w:p>
  </w:footnote>
  <w:footnote w:type="continuationSeparator" w:id="0">
    <w:p w:rsidR="00FB060D" w:rsidRDefault="00FB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19" w:rsidRDefault="003A1A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A19" w:rsidRDefault="003A1A1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19" w:rsidRDefault="003A1A19">
    <w:pPr>
      <w:pStyle w:val="a5"/>
      <w:jc w:val="center"/>
    </w:pPr>
    <w:fldSimple w:instr="PAGE   \* MERGEFORMAT">
      <w:r w:rsidR="00902D6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026B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ECF7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22CE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C2E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B4533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2A4F9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4E3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B839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EE73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C05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024F6"/>
    <w:multiLevelType w:val="singleLevel"/>
    <w:tmpl w:val="749863BC"/>
    <w:lvl w:ilvl="0">
      <w:start w:val="1"/>
      <w:numFmt w:val="decimal"/>
      <w:lvlText w:val="%1."/>
      <w:lvlJc w:val="left"/>
      <w:pPr>
        <w:tabs>
          <w:tab w:val="num" w:pos="1403"/>
        </w:tabs>
        <w:ind w:left="1403" w:hanging="360"/>
      </w:pPr>
      <w:rPr>
        <w:rFonts w:hint="default"/>
      </w:rPr>
    </w:lvl>
  </w:abstractNum>
  <w:abstractNum w:abstractNumId="11">
    <w:nsid w:val="41F1760C"/>
    <w:multiLevelType w:val="singleLevel"/>
    <w:tmpl w:val="E626C7B2"/>
    <w:lvl w:ilvl="0">
      <w:start w:val="1"/>
      <w:numFmt w:val="decimal"/>
      <w:lvlText w:val="%1."/>
      <w:lvlJc w:val="left"/>
      <w:pPr>
        <w:tabs>
          <w:tab w:val="num" w:pos="1403"/>
        </w:tabs>
        <w:ind w:left="1403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9B3"/>
    <w:rsid w:val="00064BA5"/>
    <w:rsid w:val="00095806"/>
    <w:rsid w:val="000974CD"/>
    <w:rsid w:val="00126234"/>
    <w:rsid w:val="001C553B"/>
    <w:rsid w:val="00241877"/>
    <w:rsid w:val="00242134"/>
    <w:rsid w:val="0025076A"/>
    <w:rsid w:val="00295AA5"/>
    <w:rsid w:val="00310CCD"/>
    <w:rsid w:val="003A11A1"/>
    <w:rsid w:val="003A1A19"/>
    <w:rsid w:val="003A29B3"/>
    <w:rsid w:val="004C1A90"/>
    <w:rsid w:val="00503BAB"/>
    <w:rsid w:val="00535773"/>
    <w:rsid w:val="005B14EB"/>
    <w:rsid w:val="005B1B3F"/>
    <w:rsid w:val="00665470"/>
    <w:rsid w:val="00692013"/>
    <w:rsid w:val="00765EAE"/>
    <w:rsid w:val="00793BAB"/>
    <w:rsid w:val="00836884"/>
    <w:rsid w:val="00853295"/>
    <w:rsid w:val="00895717"/>
    <w:rsid w:val="00902D67"/>
    <w:rsid w:val="009A1EE7"/>
    <w:rsid w:val="009C07D3"/>
    <w:rsid w:val="00A94D06"/>
    <w:rsid w:val="00B3172D"/>
    <w:rsid w:val="00BB02DA"/>
    <w:rsid w:val="00BC2713"/>
    <w:rsid w:val="00C468CD"/>
    <w:rsid w:val="00CC18FA"/>
    <w:rsid w:val="00E20F24"/>
    <w:rsid w:val="00E34B05"/>
    <w:rsid w:val="00E976F3"/>
    <w:rsid w:val="00F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</w:style>
  <w:style w:type="paragraph" w:styleId="a8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Pr>
      <w:i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paragraph" w:styleId="ad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e">
    <w:name w:val="endnote reference"/>
    <w:semiHidden/>
    <w:rPr>
      <w:vertAlign w:val="superscript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Body Text"/>
    <w:basedOn w:val="a1"/>
    <w:link w:val="af2"/>
    <w:pPr>
      <w:spacing w:after="120"/>
    </w:pPr>
  </w:style>
  <w:style w:type="paragraph" w:styleId="af3">
    <w:name w:val="Body Text First Indent"/>
    <w:basedOn w:val="af1"/>
    <w:semiHidden/>
    <w:pPr>
      <w:ind w:firstLine="210"/>
    </w:pPr>
  </w:style>
  <w:style w:type="paragraph" w:styleId="af4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4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5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pPr>
      <w:spacing w:before="120" w:after="120"/>
    </w:pPr>
    <w:rPr>
      <w:b/>
    </w:rPr>
  </w:style>
  <w:style w:type="paragraph" w:styleId="af7">
    <w:name w:val="footer"/>
    <w:basedOn w:val="a1"/>
    <w:semiHidden/>
    <w:pPr>
      <w:tabs>
        <w:tab w:val="center" w:pos="4153"/>
        <w:tab w:val="right" w:pos="8306"/>
      </w:tabs>
    </w:pPr>
  </w:style>
  <w:style w:type="character" w:styleId="af8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/>
      <w:sz w:val="20"/>
    </w:rPr>
  </w:style>
  <w:style w:type="paragraph" w:styleId="af9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semiHidden/>
    <w:pPr>
      <w:ind w:left="4252"/>
    </w:pPr>
  </w:style>
  <w:style w:type="paragraph" w:styleId="afd">
    <w:name w:val="Salutation"/>
    <w:basedOn w:val="a1"/>
    <w:next w:val="a1"/>
    <w:semiHidden/>
  </w:style>
  <w:style w:type="paragraph" w:styleId="afe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character" w:styleId="aff">
    <w:name w:val="FollowedHyperlink"/>
    <w:semiHidden/>
    <w:rPr>
      <w:color w:val="800080"/>
      <w:u w:val="single"/>
    </w:rPr>
  </w:style>
  <w:style w:type="paragraph" w:styleId="aff0">
    <w:name w:val="Closing"/>
    <w:basedOn w:val="a1"/>
    <w:semiHidden/>
    <w:pPr>
      <w:ind w:left="4252"/>
    </w:pPr>
  </w:style>
  <w:style w:type="paragraph" w:styleId="aff1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semiHidden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semiHidden/>
    <w:pPr>
      <w:spacing w:after="120"/>
      <w:ind w:left="1440" w:right="1440"/>
    </w:pPr>
  </w:style>
  <w:style w:type="paragraph" w:styleId="af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Normal">
    <w:name w:val="Normal"/>
    <w:rsid w:val="009C07D3"/>
    <w:pPr>
      <w:spacing w:line="288" w:lineRule="auto"/>
      <w:ind w:firstLine="567"/>
      <w:jc w:val="both"/>
    </w:pPr>
    <w:rPr>
      <w:rFonts w:ascii="Arial" w:hAnsi="Arial"/>
      <w:sz w:val="22"/>
    </w:rPr>
  </w:style>
  <w:style w:type="character" w:customStyle="1" w:styleId="a6">
    <w:name w:val="Верхний колонтитул Знак"/>
    <w:link w:val="a5"/>
    <w:uiPriority w:val="99"/>
    <w:rsid w:val="009C07D3"/>
    <w:rPr>
      <w:sz w:val="24"/>
    </w:rPr>
  </w:style>
  <w:style w:type="character" w:customStyle="1" w:styleId="af2">
    <w:name w:val="Основной текст Знак"/>
    <w:link w:val="af1"/>
    <w:rsid w:val="009A1E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D88B-0E71-44AD-A09B-E5B56F55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p41_zaikovaom</cp:lastModifiedBy>
  <cp:revision>2</cp:revision>
  <cp:lastPrinted>2016-07-28T23:16:00Z</cp:lastPrinted>
  <dcterms:created xsi:type="dcterms:W3CDTF">2020-02-03T00:04:00Z</dcterms:created>
  <dcterms:modified xsi:type="dcterms:W3CDTF">2020-02-03T00:04:00Z</dcterms:modified>
</cp:coreProperties>
</file>